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A1" w:rsidRPr="001117A1" w:rsidRDefault="001117A1" w:rsidP="001117A1">
      <w:pPr>
        <w:spacing w:before="82" w:after="82" w:line="240" w:lineRule="auto"/>
        <w:outlineLvl w:val="0"/>
        <w:rPr>
          <w:rFonts w:ascii="Arial" w:eastAsia="Times New Roman" w:hAnsi="Arial" w:cs="Arial"/>
          <w:b/>
          <w:bCs/>
          <w:color w:val="205D1A"/>
          <w:kern w:val="36"/>
          <w:sz w:val="48"/>
          <w:szCs w:val="48"/>
          <w:lang w:val="es-MX" w:eastAsia="es-MX"/>
        </w:rPr>
      </w:pPr>
      <w:r w:rsidRPr="001117A1">
        <w:rPr>
          <w:rFonts w:ascii="Arial" w:eastAsia="Times New Roman" w:hAnsi="Arial" w:cs="Arial"/>
          <w:b/>
          <w:bCs/>
          <w:color w:val="205D1A"/>
          <w:kern w:val="36"/>
          <w:sz w:val="48"/>
          <w:szCs w:val="48"/>
          <w:lang w:val="es-MX" w:eastAsia="es-MX"/>
        </w:rPr>
        <w:t>Cronograma de Desgravación Bienes Industriales</w:t>
      </w:r>
    </w:p>
    <w:p w:rsidR="001117A1" w:rsidRPr="001117A1" w:rsidRDefault="001117A1" w:rsidP="001117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 w:rsidRPr="001117A1"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  <w:t xml:space="preserve"> De acuerdo con lo establecido en el Anexo VIII del Capítulo 2 del Acuerdo de Libre Comercio de Colombia y EFTA, las categorías de </w:t>
      </w:r>
      <w:proofErr w:type="spellStart"/>
      <w:r w:rsidRPr="001117A1"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  <w:t>desgrvación</w:t>
      </w:r>
      <w:proofErr w:type="spellEnd"/>
      <w:r w:rsidRPr="001117A1"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  <w:t xml:space="preserve"> se realizarán de la siguiente manera:</w:t>
      </w:r>
    </w:p>
    <w:p w:rsidR="001117A1" w:rsidRPr="001117A1" w:rsidRDefault="001117A1" w:rsidP="001117A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1117A1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1117A1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B</w:t>
      </w:r>
    </w:p>
    <w:p w:rsidR="001117A1" w:rsidRPr="001117A1" w:rsidRDefault="001117A1" w:rsidP="001117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s-MX" w:eastAsia="es-MX"/>
        </w:rPr>
        <w:drawing>
          <wp:inline distT="0" distB="0" distL="0" distR="0">
            <wp:extent cx="3209290" cy="966470"/>
            <wp:effectExtent l="19050" t="0" r="0" b="0"/>
            <wp:docPr id="1" name="png20888" descr="http://www.mincit.gov.co/tlc/info/tlc/media/img20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88" descr="http://www.mincit.gov.co/tlc/info/tlc/media/img2088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A1" w:rsidRPr="001117A1" w:rsidRDefault="001117A1" w:rsidP="001117A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1117A1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1117A1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C</w:t>
      </w:r>
    </w:p>
    <w:p w:rsidR="001117A1" w:rsidRPr="001117A1" w:rsidRDefault="001117A1" w:rsidP="001117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s-MX" w:eastAsia="es-MX"/>
        </w:rPr>
        <w:drawing>
          <wp:inline distT="0" distB="0" distL="0" distR="0">
            <wp:extent cx="5779770" cy="966470"/>
            <wp:effectExtent l="19050" t="0" r="0" b="0"/>
            <wp:docPr id="2" name="png20889" descr="http://www.mincit.gov.co/tlc/info/tlc/media/img208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89" descr="http://www.mincit.gov.co/tlc/info/tlc/media/img2088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E729DF"/>
    <w:sectPr w:rsidR="00E729DF" w:rsidSect="00E72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17A1"/>
    <w:rsid w:val="001117A1"/>
    <w:rsid w:val="00BF2467"/>
    <w:rsid w:val="00E7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F"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111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111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7A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117A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1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7A1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Company>Toshiba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Cardona</dc:creator>
  <cp:lastModifiedBy>juan carlos Cardona</cp:lastModifiedBy>
  <cp:revision>1</cp:revision>
  <dcterms:created xsi:type="dcterms:W3CDTF">2015-01-19T23:10:00Z</dcterms:created>
  <dcterms:modified xsi:type="dcterms:W3CDTF">2015-01-19T23:10:00Z</dcterms:modified>
</cp:coreProperties>
</file>