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4C" w:rsidRPr="006C104C" w:rsidRDefault="006C104C" w:rsidP="006C104C">
      <w:pPr>
        <w:spacing w:before="82" w:after="82" w:line="240" w:lineRule="auto"/>
        <w:outlineLvl w:val="0"/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</w:pPr>
      <w:r w:rsidRPr="006C104C"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  <w:t>Cronograma de Desgravación Productos Agrícolas Procesados</w:t>
      </w:r>
    </w:p>
    <w:p w:rsidR="006C104C" w:rsidRPr="006C104C" w:rsidRDefault="006C104C" w:rsidP="006C1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 w:rsidRPr="006C104C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 xml:space="preserve"> De acuerdo con lo establecido en la Tabla 2 perteneciente al Anexo III del Capítulo 2 del Acuerdo de Libre Comercio de Colombia y EFTA, las categorías de </w:t>
      </w:r>
      <w:proofErr w:type="spellStart"/>
      <w:r w:rsidRPr="006C104C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>desgrvación</w:t>
      </w:r>
      <w:proofErr w:type="spellEnd"/>
      <w:r w:rsidRPr="006C104C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 xml:space="preserve"> se realizarán de la siguiente manera:</w:t>
      </w:r>
    </w:p>
    <w:p w:rsidR="006C104C" w:rsidRPr="006C104C" w:rsidRDefault="006C104C" w:rsidP="006C104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C104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B</w:t>
      </w:r>
    </w:p>
    <w:p w:rsidR="006C104C" w:rsidRPr="006C104C" w:rsidRDefault="006C104C" w:rsidP="006C1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3347085" cy="387985"/>
            <wp:effectExtent l="19050" t="0" r="5715" b="0"/>
            <wp:docPr id="1" name="png20890" descr="http://www.mincit.gov.co/tlc/info/tlc/media/img208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90" descr="http://www.mincit.gov.co/tlc/info/tlc/media/img2089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4C" w:rsidRPr="006C104C" w:rsidRDefault="006C104C" w:rsidP="006C104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C104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C</w:t>
      </w:r>
    </w:p>
    <w:p w:rsidR="006C104C" w:rsidRPr="006C104C" w:rsidRDefault="006C104C" w:rsidP="006C1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4373880" cy="767715"/>
            <wp:effectExtent l="19050" t="0" r="7620" b="0"/>
            <wp:docPr id="2" name="png20891" descr="http://www.mincit.gov.co/tlc/info/tlc/media/img20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91" descr="http://www.mincit.gov.co/tlc/info/tlc/media/img2089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4C" w:rsidRPr="006C104C" w:rsidRDefault="006C104C" w:rsidP="006C104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C104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D</w:t>
      </w:r>
    </w:p>
    <w:p w:rsidR="006C104C" w:rsidRPr="006C104C" w:rsidRDefault="006C104C" w:rsidP="006C1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5917565" cy="767715"/>
            <wp:effectExtent l="19050" t="0" r="6985" b="0"/>
            <wp:docPr id="3" name="png20892" descr="http://www.mincit.gov.co/tlc/info/tlc/media/img20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92" descr="http://www.mincit.gov.co/tlc/info/tlc/media/img208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4C" w:rsidRPr="006C104C" w:rsidRDefault="006C104C" w:rsidP="006C104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C104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F</w:t>
      </w:r>
    </w:p>
    <w:p w:rsidR="006C104C" w:rsidRPr="006C104C" w:rsidRDefault="006C104C" w:rsidP="006C1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1802765" cy="767715"/>
            <wp:effectExtent l="19050" t="0" r="6985" b="0"/>
            <wp:docPr id="4" name="png20893" descr="http://www.mincit.gov.co/tlc/info/tlc/media/img20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93" descr="http://www.mincit.gov.co/tlc/info/tlc/media/img2089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4C" w:rsidRPr="006C104C" w:rsidRDefault="006C104C" w:rsidP="006C104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C104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G</w:t>
      </w:r>
    </w:p>
    <w:p w:rsidR="006C104C" w:rsidRPr="006C104C" w:rsidRDefault="006C104C" w:rsidP="006C1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 w:rsidRPr="006C104C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> </w:t>
      </w: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1802765" cy="387985"/>
            <wp:effectExtent l="19050" t="0" r="6985" b="0"/>
            <wp:docPr id="5" name="png20894" descr="http://www.mincit.gov.co/tlc/info/tlc/media/img20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94" descr="http://www.mincit.gov.co/tlc/info/tlc/media/img2089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4C" w:rsidRPr="006C104C" w:rsidRDefault="006C104C" w:rsidP="006C104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C104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H</w:t>
      </w:r>
    </w:p>
    <w:p w:rsidR="006C104C" w:rsidRPr="006C104C" w:rsidRDefault="006C104C" w:rsidP="006C1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2312035" cy="387985"/>
            <wp:effectExtent l="19050" t="0" r="0" b="0"/>
            <wp:docPr id="6" name="png20895" descr="http://www.mincit.gov.co/tlc/info/tlc/media/img20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95" descr="http://www.mincit.gov.co/tlc/info/tlc/media/img2089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729DF"/>
    <w:sectPr w:rsidR="00E729DF" w:rsidSect="00E72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104C"/>
    <w:rsid w:val="006C104C"/>
    <w:rsid w:val="00BF2467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6C1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6C1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104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C104C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04C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>Toshiba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2015-01-19T23:14:00Z</dcterms:created>
  <dcterms:modified xsi:type="dcterms:W3CDTF">2015-01-19T23:14:00Z</dcterms:modified>
</cp:coreProperties>
</file>