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B" w:rsidRDefault="001A287B" w:rsidP="001A287B">
      <w:pPr>
        <w:pStyle w:val="maintitle"/>
        <w:shd w:val="clear" w:color="auto" w:fill="FFFFFF"/>
        <w:jc w:val="center"/>
        <w:rPr>
          <w:rFonts w:ascii="Arial" w:hAnsi="Arial" w:cs="Arial"/>
          <w:b/>
          <w:bCs/>
          <w:color w:val="BF3917"/>
          <w:sz w:val="16"/>
          <w:szCs w:val="16"/>
        </w:rPr>
      </w:pPr>
      <w:r>
        <w:rPr>
          <w:rFonts w:ascii="Arial" w:hAnsi="Arial" w:cs="Arial"/>
          <w:b/>
          <w:bCs/>
          <w:color w:val="BF3917"/>
          <w:sz w:val="16"/>
          <w:szCs w:val="16"/>
        </w:rPr>
        <w:t>Acuerdo de Complementación Económica suscrito entre los Gobiernos de la República Argentina, de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la República Federativa del Brasil, de la República del Paraguay y de la República Oriental del Uruguay,</w:t>
      </w:r>
      <w:r>
        <w:rPr>
          <w:rStyle w:val="apple-converted-space"/>
          <w:rFonts w:ascii="Arial" w:hAnsi="Arial" w:cs="Arial"/>
          <w:b/>
          <w:bCs/>
          <w:color w:val="BF3917"/>
          <w:sz w:val="16"/>
          <w:szCs w:val="16"/>
        </w:rPr>
        <w:t> 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Estados Partes del MERCOSUR y los Gobiernos de la República de Colombia, de la República del Ecuador y de</w:t>
      </w:r>
      <w:r>
        <w:rPr>
          <w:rStyle w:val="apple-converted-space"/>
          <w:rFonts w:ascii="Arial" w:hAnsi="Arial" w:cs="Arial"/>
          <w:b/>
          <w:bCs/>
          <w:color w:val="BF3917"/>
          <w:sz w:val="16"/>
          <w:szCs w:val="16"/>
        </w:rPr>
        <w:t> 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la República Bolivariana de Venezuela, Países Miembros de la Comunidad Andina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PARAGUAY – COLOMBIA</w:t>
      </w:r>
    </w:p>
    <w:p w:rsidR="001A287B" w:rsidRDefault="001A287B" w:rsidP="001A287B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El programa de liberación comercial se aplicará a vehículos automotores nuevos que hayan sido fabricados en el año en el cual se realiza la importación o en el año inmediatamente anterior.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 xml:space="preserve">(3) El programa de liberación comercial no se aplicará a autopartes reconstruidas, refaccionadas,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remanufacturadas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o cualquier otro apelativo similar que se dé a bienes que después de haber sido usados se han sometido a algún proceso para restituirles sus características o sus especificaciones originales, o para devolverles la funcionalidad que tuvieron cuando nuevos.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(4) El programa de liberación comercial se aplicará a las motocicletas nuevas que hayan sido fabricados en el año en el cual se realiza la importación o en el año inmediatamente anterior.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 xml:space="preserve">(5) El programa de liberación comercial no se aplicará a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motopartes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reconstruidas, refaccionadas,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remanufacturadas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o cualquier otro apelativo similar que se dé a bienes que después de haber sido usados se han sometido a algún proceso para restituirles sus características o sus especificaciones originales, o para devolverles la funcionalidad que tuvieron cuando nuevos.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(6) El programa de liberación comercial se aplica hasta el 31/12/2011. A partir del 01/01/2012 se aplica la preferencia correspondiente al 31/12/2011.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(7) El programa de liberación comercial no se aplica a desechos farmacéuticos, tal como los clasifica el Sistema Armonizado 2002 en su versión NALADISA.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(8) El programa de liberación comercial no aplica. Cuando estén dadas las condiciones y tomen la decisión, Colombia y Paraguay comunicarán su disposición a iniciar negociaciones para definir la fecha de inicio del programa de liberación comercial y demás condiciones de acceso de estos bienes.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________</w:t>
      </w:r>
      <w:r>
        <w:rPr>
          <w:rFonts w:ascii="Arial" w:hAnsi="Arial" w:cs="Arial"/>
          <w:color w:val="5C635B"/>
          <w:sz w:val="16"/>
          <w:szCs w:val="16"/>
        </w:rPr>
        <w:br/>
        <w:t> 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PARAGUAY - ECUADOR</w:t>
      </w:r>
    </w:p>
    <w:p w:rsidR="001A287B" w:rsidRDefault="001A287B" w:rsidP="001A287B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________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</w:p>
    <w:p w:rsidR="001A287B" w:rsidRDefault="001A287B" w:rsidP="001A287B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PARAGUAY - VENEZUELA</w:t>
      </w:r>
    </w:p>
    <w:p w:rsidR="00E729DF" w:rsidRPr="001A287B" w:rsidRDefault="001A287B" w:rsidP="001A287B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</w:p>
    <w:sectPr w:rsidR="00E729DF" w:rsidRPr="001A287B" w:rsidSect="001A28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287B"/>
    <w:rsid w:val="001A287B"/>
    <w:rsid w:val="005E1732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ntitle">
    <w:name w:val="maintitle"/>
    <w:basedOn w:val="Normal"/>
    <w:rsid w:val="001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1A287B"/>
  </w:style>
  <w:style w:type="paragraph" w:styleId="NormalWeb">
    <w:name w:val="Normal (Web)"/>
    <w:basedOn w:val="Normal"/>
    <w:uiPriority w:val="99"/>
    <w:unhideWhenUsed/>
    <w:rsid w:val="001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2512</Characters>
  <Application>Microsoft Office Word</Application>
  <DocSecurity>0</DocSecurity>
  <Lines>20</Lines>
  <Paragraphs>5</Paragraphs>
  <ScaleCrop>false</ScaleCrop>
  <Company>Toshiba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2015-01-20T22:04:00Z</dcterms:created>
  <dcterms:modified xsi:type="dcterms:W3CDTF">2015-01-20T22:04:00Z</dcterms:modified>
</cp:coreProperties>
</file>