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DF" w:rsidRPr="003B64DF" w:rsidRDefault="003B64DF" w:rsidP="003B64DF">
      <w:pPr>
        <w:spacing w:before="100" w:beforeAutospacing="1" w:after="100" w:afterAutospacing="1" w:line="240" w:lineRule="auto"/>
        <w:jc w:val="center"/>
        <w:rPr>
          <w:rFonts w:ascii="Verdana" w:eastAsia="Times New Roman" w:hAnsi="Verdana"/>
          <w:b/>
          <w:color w:val="4F81BD"/>
          <w:szCs w:val="20"/>
          <w:lang w:eastAsia="es-MX"/>
        </w:rPr>
      </w:pPr>
      <w:r w:rsidRPr="003B64DF">
        <w:rPr>
          <w:rFonts w:ascii="Verdana" w:eastAsia="Times New Roman" w:hAnsi="Verdana"/>
          <w:b/>
          <w:color w:val="4F81BD"/>
          <w:szCs w:val="20"/>
          <w:lang w:eastAsia="es-MX"/>
        </w:rPr>
        <w:t>ACUERDO por el que se da a conocer la Decisión No. 76 de la Comisión Administradora del Tratado de Libre Comercio entre los Estados Unidos Mexicanos y la República de Colombia, adoptada el 3 de octubre de 2014.</w:t>
      </w:r>
    </w:p>
    <w:p w:rsidR="003B64DF" w:rsidRPr="003B64DF" w:rsidRDefault="003B64DF" w:rsidP="003B64DF">
      <w:pPr>
        <w:spacing w:before="100" w:beforeAutospacing="1" w:after="100" w:afterAutospacing="1" w:line="240" w:lineRule="auto"/>
        <w:jc w:val="center"/>
        <w:rPr>
          <w:rFonts w:ascii="Verdana" w:eastAsia="Times New Roman" w:hAnsi="Verdana"/>
          <w:b/>
          <w:color w:val="4F81BD"/>
          <w:szCs w:val="20"/>
          <w:lang w:eastAsia="es-MX"/>
        </w:rPr>
      </w:pPr>
      <w:r w:rsidRPr="003B64DF">
        <w:rPr>
          <w:rFonts w:ascii="Verdana" w:eastAsia="Times New Roman" w:hAnsi="Verdana"/>
          <w:b/>
          <w:color w:val="4F81BD"/>
          <w:szCs w:val="20"/>
          <w:lang w:eastAsia="es-MX"/>
        </w:rPr>
        <w:t>(DOF 27 de octubre de 2014)</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sz w:val="20"/>
          <w:szCs w:val="20"/>
          <w:lang w:eastAsia="es-MX"/>
        </w:rPr>
        <w:t>Al margen un sello con el Escudo Nacional, que dice: Estados Unidos Mexicanos.- Secretaría de Economía.</w:t>
      </w:r>
    </w:p>
    <w:p w:rsidR="003B64DF" w:rsidRPr="003B64DF" w:rsidRDefault="003B64DF" w:rsidP="003B64DF">
      <w:pPr>
        <w:spacing w:before="100" w:beforeAutospacing="1" w:after="100" w:afterAutospacing="1" w:line="200"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Con fundamento en los artículos 34, fracción XXXIII de la Ley Orgánica de la Administración Pública Federal; 5o., fracción X de la Ley de Comercio Exterior; 5, fracción XVI del Reglamento Interior de la Secretaría de Economía, y</w:t>
      </w:r>
    </w:p>
    <w:p w:rsidR="003B64DF" w:rsidRPr="003B64DF" w:rsidRDefault="003B64DF" w:rsidP="003B64DF">
      <w:pPr>
        <w:spacing w:before="100" w:beforeAutospacing="1" w:after="100" w:afterAutospacing="1" w:line="200" w:lineRule="exact"/>
        <w:jc w:val="both"/>
        <w:rPr>
          <w:rFonts w:ascii="Verdana" w:eastAsia="Times New Roman" w:hAnsi="Verdana"/>
          <w:sz w:val="20"/>
          <w:szCs w:val="20"/>
          <w:lang w:eastAsia="es-MX"/>
        </w:rPr>
      </w:pPr>
      <w:r w:rsidRPr="003B64DF">
        <w:rPr>
          <w:rFonts w:ascii="Verdana" w:eastAsia="Times New Roman" w:hAnsi="Verdana"/>
          <w:sz w:val="20"/>
          <w:szCs w:val="20"/>
          <w:lang w:val="es-ES_tradnl" w:eastAsia="es-MX"/>
        </w:rPr>
        <w:t>CONSIDERANDO</w:t>
      </w:r>
    </w:p>
    <w:p w:rsidR="003B64DF" w:rsidRPr="003B64DF" w:rsidRDefault="003B64DF" w:rsidP="003B64DF">
      <w:pPr>
        <w:spacing w:before="100" w:beforeAutospacing="1" w:after="100" w:afterAutospacing="1" w:line="200"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el 1 de enero de 1995 entró en vigor el Tratado de Libre Comercio entre los Estados Unidos Mexicanos, la República de Colombia y la República de Venezuela (Tratado) en el cual las Partes establecieron, de conformidad con el Artículo 6-20 del propio Tratado, un Comité de Integración Regional de Insumos (CIRI).</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el 23 de mayo de 2006 la República Bolivariana de Venezuela comunicó al gobierno de los Estados Unidos Mexicanos su decisión de denunciar el Tratado, por lo que, de conformidad con el artículo 23-08 del mismo, dicha denuncia surtió efectos a partir del 19 de noviembre de 2006.</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el 17 de noviembre de 2006 se publicó en el Diario Oficial de la Federación el Decreto por el que se determina que el Tratado de Libre Comercio entre los Estados Unidos Mexicanos, la República de Colombia y la República de Venezuela, firmado en la ciudad de Cartagena de Indias, Colombia, el trece de junio de mil novecientos noventa y cuatro, queda sin efectos entre los Estados Unidos Mexicanos y la República Bolivariana de Venezuela, a partir del diecinueve de noviembre de dos mil seis.</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el 11 de junio de 2010 los Estados Unidos Mexicanos y la República de Colombia, firmaron simultáneamente en la Ciudad de México y Bogotá D.C., el Protocolo Modificatorio al Tratado de Libre Comercio entre los Estados Unidos Mexicanos, la República de Colombia y la República de Venezuela, firmado en la ciudad de Cartagena de Indias, Colombia el trece de junio de mil novecientos noventa y cuatro, mediante el cual, entre otros, modificaron el nombre del Tratado por “Tratado de Libre Comercio entre los Estados Unidos Mexicanos y la República de Colombia”, mismo que se dio a conocer mediante Decreto, mismo que se dio a conocer mediante Decreto publicado en el Diario Oficial de la Federación el 27 de julio de 2011.</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el Artículo 6-24 del Tratado faculta a la Comisión Administradora del Tratado (la Comisión) para que emita una resolución que establezca una dispensa, en los montos y términos convenidos por el CIRI en su dictamen, para la utilización de los materiales a que se refiere el párrafo 3 del Artículo 6-21 del Tratado.</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Que de conformidad con el Artículo 6-23 del Tratado, el 26 de septiembre de 2014, el CIRI presentó un dictamen a la Comisión, en el que determinó otorgar una nueva dispensa temporal para la utilización de ciertos materiales producidos u obtenidos fuera de la zona de libre comercio, en la manufactura de ciertos bienes textiles y del vestido, a fin de que estos bienes puedan recibir el trato arancelario preferencial previsto en el Tratado, y</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lastRenderedPageBreak/>
        <w:t>Que la Comisión, de conformidad con el Artículo 6-24 del Tratado y tomando en consideración el dictamen presentado por el CIRI, adoptó el 3 de octubre de 2014, la Decisión No. 76 por la que acordó otorgar una dispensa temporal para la utilización de materiales producidos u obtenidos fuera de la zona de libre comercio en la manufactura de ciertos bienes textiles y del vestido, para que estos bienes puedan recibir el trato arancelario preferencial del Tratado, se expide el siguiente:</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_tradnl" w:eastAsia="es-MX"/>
        </w:rPr>
        <w:t>Acuerdo</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Único.-</w:t>
      </w:r>
      <w:r w:rsidRPr="003B64DF">
        <w:rPr>
          <w:rFonts w:ascii="Verdana" w:eastAsia="Times New Roman" w:hAnsi="Verdana"/>
          <w:sz w:val="20"/>
          <w:szCs w:val="20"/>
          <w:lang w:val="es-ES" w:eastAsia="es-MX"/>
        </w:rPr>
        <w:t xml:space="preserve"> Se da a conocer la Decisión No. 76 de la Comisión Administradora del Tratado de Libre Comercio entre los Estados Unidos Mexicanos y la República de Colombia, por la que se otorga una 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3 de octubre de 2014:</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w:t>
      </w:r>
      <w:r w:rsidRPr="003B64DF">
        <w:rPr>
          <w:rFonts w:ascii="Verdana" w:eastAsia="Times New Roman" w:hAnsi="Verdana"/>
          <w:b/>
          <w:sz w:val="20"/>
          <w:szCs w:val="20"/>
          <w:lang w:val="es-ES" w:eastAsia="es-MX"/>
        </w:rPr>
        <w:t>DECISIÓN No. 76</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La Comisión Administradora del Tratado de Libre Comercio entre los Estados Unidos Mexicanos y la República de Colombia (el Tratado), en cumplimiento de lo establecido en los artículos 6-24 y 20-01 del mismo; tomando en consideración el Dictamen presentado por el Comité de Integración Regional de Insumos (CIRI), de fecha 26 de septiembre de 2014, conforme al Artículo 6-23 del Tratado, mediante el cual se determina la incapacidad del productor de disponer de los materiales indicados en el párrafo 1 del Artículo 6-21 del mismo, los montos y términos de la dispensa requerida para que un bien pueda recibir el trato arancelario preferencial,</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DECIDE:</w:t>
      </w:r>
    </w:p>
    <w:p w:rsidR="003B64DF" w:rsidRPr="003B64DF" w:rsidRDefault="003B64DF" w:rsidP="003B64DF">
      <w:pPr>
        <w:spacing w:before="100" w:beforeAutospacing="1" w:after="100" w:afterAutospacing="1" w:line="225"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1.</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Otorgar por el período del 31 de octubre de 2014 al 30 de octubre de 2016 una dispensa temporal para nuevos productos, de conformidad con lo estipulado en el párrafo 4 del Artículo 6-24 del Tratado, mediante la cual los Estados Unidos Mexicanos aplicarán el arancel de importación correspondiente a los bienes originarios previstos en su calendario de desgravación del Anexo 1 al artículo 3-04 del Tratado a:</w:t>
      </w:r>
    </w:p>
    <w:p w:rsidR="003B64DF" w:rsidRPr="003B64DF" w:rsidRDefault="003B64DF" w:rsidP="003B64DF">
      <w:pPr>
        <w:spacing w:before="100" w:beforeAutospacing="1" w:after="100" w:afterAutospacing="1" w:line="240" w:lineRule="auto"/>
        <w:ind w:left="1152" w:hanging="432"/>
        <w:jc w:val="both"/>
        <w:rPr>
          <w:rFonts w:ascii="Verdana" w:eastAsia="Times New Roman" w:hAnsi="Verdana"/>
          <w:sz w:val="20"/>
          <w:szCs w:val="20"/>
          <w:lang w:eastAsia="es-MX"/>
        </w:rPr>
      </w:pPr>
      <w:r w:rsidRPr="003B64DF">
        <w:rPr>
          <w:rFonts w:ascii="Verdana" w:eastAsia="Symbol" w:hAnsi="Verdana" w:cs="Symbol"/>
          <w:sz w:val="20"/>
          <w:szCs w:val="20"/>
          <w:lang w:eastAsia="es-MX"/>
        </w:rPr>
        <w:t>·</w:t>
      </w:r>
      <w:r w:rsidRPr="003B64DF">
        <w:rPr>
          <w:rFonts w:ascii="Verdana" w:eastAsia="Symbol" w:hAnsi="Verdana"/>
          <w:sz w:val="20"/>
          <w:szCs w:val="20"/>
          <w:lang w:eastAsia="es-MX"/>
        </w:rPr>
        <w:t xml:space="preserve">            </w:t>
      </w:r>
      <w:r w:rsidRPr="003B64DF">
        <w:rPr>
          <w:rFonts w:ascii="Verdana" w:eastAsia="Times New Roman" w:hAnsi="Verdana"/>
          <w:sz w:val="20"/>
          <w:szCs w:val="20"/>
          <w:lang w:eastAsia="es-MX"/>
        </w:rPr>
        <w:t xml:space="preserve">Ciertos bienes textiles clasificados en las </w:t>
      </w:r>
      <w:proofErr w:type="spellStart"/>
      <w:r w:rsidRPr="003B64DF">
        <w:rPr>
          <w:rFonts w:ascii="Verdana" w:eastAsia="Times New Roman" w:hAnsi="Verdana"/>
          <w:sz w:val="20"/>
          <w:szCs w:val="20"/>
          <w:lang w:eastAsia="es-MX"/>
        </w:rPr>
        <w:t>subpartidas</w:t>
      </w:r>
      <w:proofErr w:type="spellEnd"/>
      <w:r w:rsidRPr="003B64DF">
        <w:rPr>
          <w:rFonts w:ascii="Verdana" w:eastAsia="Times New Roman" w:hAnsi="Verdana"/>
          <w:sz w:val="20"/>
          <w:szCs w:val="20"/>
          <w:lang w:eastAsia="es-MX"/>
        </w:rPr>
        <w:t xml:space="preserve">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lastRenderedPageBreak/>
        <w:t>2.</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Los bienes antes descritos quedan sujetos a los mecanismos de verificación y certificación del Capítulo VII del Tratado.</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3.</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En la República de Colombia se podrá utilizar el material que se describe en esta Decisión, producido u obtenido fuera de la zona de libre comercio, en la cantidad máxima señalada en la columna C de la siguiente Tabla.</w:t>
      </w:r>
    </w:p>
    <w:tbl>
      <w:tblPr>
        <w:tblW w:w="7275" w:type="dxa"/>
        <w:jc w:val="center"/>
        <w:tblLayout w:type="fixed"/>
        <w:tblCellMar>
          <w:left w:w="70" w:type="dxa"/>
          <w:right w:w="70" w:type="dxa"/>
        </w:tblCellMar>
        <w:tblLook w:val="04A0"/>
      </w:tblPr>
      <w:tblGrid>
        <w:gridCol w:w="1628"/>
        <w:gridCol w:w="4147"/>
        <w:gridCol w:w="1500"/>
      </w:tblGrid>
      <w:tr w:rsidR="003B64DF" w:rsidRPr="003B64DF" w:rsidTr="003B64DF">
        <w:trPr>
          <w:trHeight w:val="20"/>
          <w:jc w:val="center"/>
        </w:trPr>
        <w:tc>
          <w:tcPr>
            <w:tcW w:w="1628"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Fracción Arancelaria en Colombia (Insumo)</w:t>
            </w:r>
          </w:p>
        </w:tc>
        <w:tc>
          <w:tcPr>
            <w:tcW w:w="4145"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Descripción / Observaciones</w:t>
            </w:r>
          </w:p>
        </w:tc>
        <w:tc>
          <w:tcPr>
            <w:tcW w:w="1499"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Cantidad (Kilogramos Netos)</w:t>
            </w:r>
          </w:p>
        </w:tc>
      </w:tr>
      <w:tr w:rsidR="003B64DF" w:rsidRPr="003B64DF" w:rsidTr="003B64DF">
        <w:trPr>
          <w:trHeight w:val="20"/>
          <w:jc w:val="center"/>
        </w:trPr>
        <w:tc>
          <w:tcPr>
            <w:tcW w:w="1628"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(A)</w:t>
            </w:r>
          </w:p>
        </w:tc>
        <w:tc>
          <w:tcPr>
            <w:tcW w:w="4145"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(B)</w:t>
            </w:r>
          </w:p>
        </w:tc>
        <w:tc>
          <w:tcPr>
            <w:tcW w:w="1499"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(C)</w:t>
            </w:r>
          </w:p>
        </w:tc>
      </w:tr>
      <w:tr w:rsidR="003B64DF" w:rsidRPr="003B64DF" w:rsidTr="003B64DF">
        <w:trPr>
          <w:trHeight w:val="20"/>
          <w:jc w:val="center"/>
        </w:trPr>
        <w:tc>
          <w:tcPr>
            <w:tcW w:w="1628" w:type="dxa"/>
            <w:vMerge w:val="restart"/>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5402.47.00.00</w:t>
            </w:r>
          </w:p>
        </w:tc>
        <w:tc>
          <w:tcPr>
            <w:tcW w:w="4145"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499"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 </w:t>
            </w:r>
          </w:p>
        </w:tc>
      </w:tr>
      <w:tr w:rsidR="003B64DF" w:rsidRPr="003B64DF" w:rsidTr="003B64DF">
        <w:trPr>
          <w:trHeight w:val="20"/>
          <w:jc w:val="center"/>
        </w:trPr>
        <w:tc>
          <w:tcPr>
            <w:tcW w:w="1628" w:type="dxa"/>
            <w:vMerge/>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after="0" w:line="240" w:lineRule="auto"/>
              <w:jc w:val="both"/>
              <w:rPr>
                <w:rFonts w:ascii="Verdana" w:eastAsia="Times New Roman" w:hAnsi="Verdana"/>
                <w:sz w:val="20"/>
                <w:szCs w:val="20"/>
                <w:lang w:eastAsia="es-MX"/>
              </w:rPr>
            </w:pP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sz w:val="20"/>
                <w:szCs w:val="20"/>
                <w:lang w:val="es-ES" w:eastAsia="es-MX"/>
              </w:rPr>
              <w:t xml:space="preserve">1. Poliéster 55 </w:t>
            </w:r>
            <w:proofErr w:type="spellStart"/>
            <w:r w:rsidRPr="003B64DF">
              <w:rPr>
                <w:rFonts w:ascii="Verdana" w:eastAsia="Times New Roman" w:hAnsi="Verdana" w:cs="Arial"/>
                <w:sz w:val="20"/>
                <w:szCs w:val="20"/>
                <w:lang w:val="es-ES" w:eastAsia="es-MX"/>
              </w:rPr>
              <w:t>Dx</w:t>
            </w:r>
            <w:proofErr w:type="spellEnd"/>
            <w:r w:rsidRPr="003B64DF">
              <w:rPr>
                <w:rFonts w:ascii="Verdana" w:eastAsia="Times New Roman" w:hAnsi="Verdana" w:cs="Arial"/>
                <w:sz w:val="20"/>
                <w:szCs w:val="20"/>
                <w:lang w:val="es-ES" w:eastAsia="es-MX"/>
              </w:rPr>
              <w:t>, 24 filamentos, 1 cabo, poliéster 100% liso, brillante.</w:t>
            </w:r>
          </w:p>
        </w:tc>
        <w:tc>
          <w:tcPr>
            <w:tcW w:w="1499"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sz w:val="20"/>
                <w:szCs w:val="20"/>
                <w:lang w:val="es-ES" w:eastAsia="es-MX"/>
              </w:rPr>
              <w:t>80,000</w:t>
            </w:r>
          </w:p>
        </w:tc>
      </w:tr>
      <w:tr w:rsidR="003B64DF" w:rsidRPr="003B64DF" w:rsidTr="003B64DF">
        <w:trPr>
          <w:trHeight w:val="20"/>
          <w:jc w:val="center"/>
        </w:trPr>
        <w:tc>
          <w:tcPr>
            <w:tcW w:w="1628" w:type="dxa"/>
            <w:vMerge/>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after="0" w:line="240" w:lineRule="auto"/>
              <w:jc w:val="both"/>
              <w:rPr>
                <w:rFonts w:ascii="Verdana" w:eastAsia="Times New Roman" w:hAnsi="Verdana"/>
                <w:sz w:val="20"/>
                <w:szCs w:val="20"/>
                <w:lang w:eastAsia="es-MX"/>
              </w:rPr>
            </w:pPr>
          </w:p>
        </w:tc>
        <w:tc>
          <w:tcPr>
            <w:tcW w:w="41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Total</w:t>
            </w:r>
          </w:p>
        </w:tc>
        <w:tc>
          <w:tcPr>
            <w:tcW w:w="1499" w:type="dxa"/>
            <w:tcBorders>
              <w:top w:val="single" w:sz="6" w:space="0" w:color="auto"/>
              <w:left w:val="single" w:sz="6" w:space="0" w:color="auto"/>
              <w:bottom w:val="single" w:sz="6" w:space="0" w:color="auto"/>
              <w:right w:val="single" w:sz="6" w:space="0" w:color="auto"/>
            </w:tcBorders>
            <w:vAlign w:val="center"/>
            <w:hideMark/>
          </w:tcPr>
          <w:p w:rsidR="003B64DF" w:rsidRPr="003B64DF" w:rsidRDefault="003B64DF" w:rsidP="003B64DF">
            <w:pPr>
              <w:spacing w:before="40" w:after="40" w:line="20" w:lineRule="atLeast"/>
              <w:jc w:val="both"/>
              <w:rPr>
                <w:rFonts w:ascii="Verdana" w:eastAsia="Times New Roman" w:hAnsi="Verdana"/>
                <w:sz w:val="20"/>
                <w:szCs w:val="20"/>
                <w:lang w:eastAsia="es-MX"/>
              </w:rPr>
            </w:pPr>
            <w:r w:rsidRPr="003B64DF">
              <w:rPr>
                <w:rFonts w:ascii="Verdana" w:eastAsia="Times New Roman" w:hAnsi="Verdana" w:cs="Arial"/>
                <w:b/>
                <w:sz w:val="20"/>
                <w:szCs w:val="20"/>
                <w:lang w:val="es-ES" w:eastAsia="es-MX"/>
              </w:rPr>
              <w:t>80,000</w:t>
            </w:r>
          </w:p>
        </w:tc>
      </w:tr>
    </w:tbl>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sz w:val="20"/>
          <w:szCs w:val="20"/>
          <w:lang w:val="es-ES" w:eastAsia="es-MX"/>
        </w:rPr>
        <w:t> </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4.</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RPr="003B64DF">
        <w:rPr>
          <w:rFonts w:ascii="Verdana" w:eastAsia="Times New Roman" w:hAnsi="Verdana"/>
          <w:sz w:val="20"/>
          <w:szCs w:val="20"/>
          <w:u w:val="single"/>
          <w:lang w:val="es-ES" w:eastAsia="es-MX"/>
        </w:rPr>
        <w:t>76</w:t>
      </w:r>
      <w:r w:rsidRPr="003B64DF">
        <w:rPr>
          <w:rFonts w:ascii="Verdana" w:eastAsia="Times New Roman" w:hAnsi="Verdana"/>
          <w:sz w:val="20"/>
          <w:szCs w:val="20"/>
          <w:lang w:val="es-ES" w:eastAsia="es-MX"/>
        </w:rPr>
        <w:t xml:space="preserve"> de la Comisión Administradora del Tratado y utilizó </w:t>
      </w:r>
      <w:r w:rsidRPr="003B64DF">
        <w:rPr>
          <w:rFonts w:ascii="Verdana" w:eastAsia="Times New Roman" w:hAnsi="Verdana"/>
          <w:sz w:val="20"/>
          <w:szCs w:val="20"/>
          <w:u w:val="single"/>
          <w:lang w:val="es-ES" w:eastAsia="es-MX"/>
        </w:rPr>
        <w:t xml:space="preserve">(monto(s)) </w:t>
      </w:r>
      <w:proofErr w:type="spellStart"/>
      <w:r w:rsidRPr="003B64DF">
        <w:rPr>
          <w:rFonts w:ascii="Verdana" w:eastAsia="Times New Roman" w:hAnsi="Verdana"/>
          <w:sz w:val="20"/>
          <w:szCs w:val="20"/>
          <w:lang w:val="es-ES" w:eastAsia="es-MX"/>
        </w:rPr>
        <w:t>kgs</w:t>
      </w:r>
      <w:proofErr w:type="spellEnd"/>
      <w:r w:rsidRPr="003B64DF">
        <w:rPr>
          <w:rFonts w:ascii="Verdana" w:eastAsia="Times New Roman" w:hAnsi="Verdana"/>
          <w:sz w:val="20"/>
          <w:szCs w:val="20"/>
          <w:lang w:val="es-ES" w:eastAsia="es-MX"/>
        </w:rPr>
        <w:t xml:space="preserve">. de la dispensa otorgada a </w:t>
      </w:r>
      <w:r w:rsidRPr="003B64DF">
        <w:rPr>
          <w:rFonts w:ascii="Verdana" w:eastAsia="Times New Roman" w:hAnsi="Verdana"/>
          <w:sz w:val="20"/>
          <w:szCs w:val="20"/>
          <w:u w:val="single"/>
          <w:lang w:val="es-ES" w:eastAsia="es-MX"/>
        </w:rPr>
        <w:t>(nombre del (de los) material(es) utilizado(s)),</w:t>
      </w:r>
      <w:r w:rsidRPr="003B64DF">
        <w:rPr>
          <w:rFonts w:ascii="Verdana" w:eastAsia="Times New Roman" w:hAnsi="Verdana"/>
          <w:sz w:val="20"/>
          <w:szCs w:val="20"/>
          <w:lang w:val="es-ES" w:eastAsia="es-MX"/>
        </w:rPr>
        <w:t xml:space="preserve"> clasificado(s) en la fracción (fracciones) arancelaria(s) _______.”</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5.</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 xml:space="preserve">Para los productos que se beneficien de la dispensa establecida en la presente Decisión, el certificado de origen deberá amparar sólo productos clasificados en una misma </w:t>
      </w:r>
      <w:proofErr w:type="spellStart"/>
      <w:r w:rsidRPr="003B64DF">
        <w:rPr>
          <w:rFonts w:ascii="Verdana" w:eastAsia="Times New Roman" w:hAnsi="Verdana"/>
          <w:sz w:val="20"/>
          <w:szCs w:val="20"/>
          <w:lang w:val="es-ES" w:eastAsia="es-MX"/>
        </w:rPr>
        <w:t>subpartida</w:t>
      </w:r>
      <w:proofErr w:type="spellEnd"/>
      <w:r w:rsidRPr="003B64DF">
        <w:rPr>
          <w:rFonts w:ascii="Verdana" w:eastAsia="Times New Roman" w:hAnsi="Verdana"/>
          <w:sz w:val="20"/>
          <w:szCs w:val="20"/>
          <w:lang w:val="es-ES" w:eastAsia="es-MX"/>
        </w:rPr>
        <w:t xml:space="preserve"> (a nivel de 6 dígitos). Por ello, si un exportador envía productos clasificados en diferentes </w:t>
      </w:r>
      <w:proofErr w:type="spellStart"/>
      <w:r w:rsidRPr="003B64DF">
        <w:rPr>
          <w:rFonts w:ascii="Verdana" w:eastAsia="Times New Roman" w:hAnsi="Verdana"/>
          <w:sz w:val="20"/>
          <w:szCs w:val="20"/>
          <w:lang w:val="es-ES" w:eastAsia="es-MX"/>
        </w:rPr>
        <w:t>subpartidas</w:t>
      </w:r>
      <w:proofErr w:type="spellEnd"/>
      <w:r w:rsidRPr="003B64DF">
        <w:rPr>
          <w:rFonts w:ascii="Verdana" w:eastAsia="Times New Roman" w:hAnsi="Verdana"/>
          <w:sz w:val="20"/>
          <w:szCs w:val="20"/>
          <w:lang w:val="es-ES" w:eastAsia="es-MX"/>
        </w:rPr>
        <w:t>, éste deberá llenar un certificado para cada una de ellas.</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6.</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7.</w:t>
      </w:r>
      <w:r w:rsidRPr="003B64DF">
        <w:rPr>
          <w:rFonts w:ascii="Verdana" w:eastAsia="Times New Roman" w:hAnsi="Verdana"/>
          <w:b/>
          <w:sz w:val="20"/>
          <w:szCs w:val="20"/>
          <w:lang w:val="es-ES" w:eastAsia="es-MX"/>
        </w:rPr>
        <w:tab/>
      </w:r>
      <w:r w:rsidRPr="003B64DF">
        <w:rPr>
          <w:rFonts w:ascii="Verdana" w:eastAsia="Times New Roman" w:hAnsi="Verdana"/>
          <w:sz w:val="20"/>
          <w:szCs w:val="20"/>
          <w:lang w:val="es-ES" w:eastAsia="es-MX"/>
        </w:rPr>
        <w:t xml:space="preserve">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las gacetas </w:t>
      </w:r>
      <w:r w:rsidRPr="003B64DF">
        <w:rPr>
          <w:rFonts w:ascii="Verdana" w:eastAsia="Times New Roman" w:hAnsi="Verdana"/>
          <w:sz w:val="20"/>
          <w:szCs w:val="20"/>
          <w:lang w:val="es-ES" w:eastAsia="es-MX"/>
        </w:rPr>
        <w:lastRenderedPageBreak/>
        <w:t>oficiales correspondientes de los Estados Unidos Mexicanos y la República de Colombia.”</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sz w:val="20"/>
          <w:szCs w:val="20"/>
          <w:lang w:val="es-ES_tradnl" w:eastAsia="es-MX"/>
        </w:rPr>
        <w:t>TRANSITORIOS</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PRIMERO.-</w:t>
      </w:r>
      <w:r w:rsidRPr="003B64DF">
        <w:rPr>
          <w:rFonts w:ascii="Verdana" w:eastAsia="Times New Roman" w:hAnsi="Verdana"/>
          <w:sz w:val="20"/>
          <w:szCs w:val="20"/>
          <w:lang w:val="es-ES" w:eastAsia="es-MX"/>
        </w:rPr>
        <w:t xml:space="preserve"> El presente Acuerdo entrará en vigor el día de su publicación en el Diario Oficial de la Federación.</w:t>
      </w:r>
    </w:p>
    <w:p w:rsidR="003B64DF" w:rsidRPr="003B64DF" w:rsidRDefault="003B64DF" w:rsidP="003B64DF">
      <w:pPr>
        <w:spacing w:before="100" w:beforeAutospacing="1" w:after="60" w:line="217" w:lineRule="exact"/>
        <w:jc w:val="both"/>
        <w:rPr>
          <w:rFonts w:ascii="Verdana" w:eastAsia="Times New Roman" w:hAnsi="Verdana"/>
          <w:sz w:val="20"/>
          <w:szCs w:val="20"/>
          <w:lang w:eastAsia="es-MX"/>
        </w:rPr>
      </w:pPr>
      <w:r w:rsidRPr="003B64DF">
        <w:rPr>
          <w:rFonts w:ascii="Verdana" w:eastAsia="Times New Roman" w:hAnsi="Verdana"/>
          <w:b/>
          <w:sz w:val="20"/>
          <w:szCs w:val="20"/>
          <w:lang w:val="es-ES" w:eastAsia="es-MX"/>
        </w:rPr>
        <w:t>SEGUNDO.-</w:t>
      </w:r>
      <w:r w:rsidRPr="003B64DF">
        <w:rPr>
          <w:rFonts w:ascii="Verdana" w:eastAsia="Times New Roman" w:hAnsi="Verdana"/>
          <w:sz w:val="20"/>
          <w:szCs w:val="20"/>
          <w:lang w:val="es-ES" w:eastAsia="es-MX"/>
        </w:rPr>
        <w:t xml:space="preserve"> De conformidad con el numeral 1 de la Decisión No. 76 de la Comisión Administradora del Tratado de Libre Comercio entre los Estados Unidos Mexicanos y la República de Colombia, adoptada el 3 de octubre de 2014, la dispensa a que se refiere dicho numeral entrará en vigor partir del 31 de octubre de 2014 y concluirá su vigencia el 30 de octubre de 2016.</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cs="Arial"/>
          <w:sz w:val="20"/>
          <w:szCs w:val="20"/>
          <w:lang w:eastAsia="es-MX"/>
        </w:rPr>
        <w:t>México, D.F., a 17 de octubre de 2014.- El Secretario de Economía, Ildefonso Guajardo Villarreal.- Rúbrica.</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cs="Arial"/>
          <w:sz w:val="20"/>
          <w:szCs w:val="20"/>
          <w:lang w:eastAsia="es-MX"/>
        </w:rPr>
        <w:t> </w:t>
      </w:r>
    </w:p>
    <w:p w:rsidR="003B64DF" w:rsidRPr="003B64DF" w:rsidRDefault="003B64DF" w:rsidP="003B64DF">
      <w:pPr>
        <w:spacing w:before="100" w:beforeAutospacing="1" w:after="100" w:afterAutospacing="1" w:line="240" w:lineRule="auto"/>
        <w:jc w:val="both"/>
        <w:rPr>
          <w:rFonts w:ascii="Verdana" w:eastAsia="Times New Roman" w:hAnsi="Verdana"/>
          <w:sz w:val="20"/>
          <w:szCs w:val="20"/>
          <w:lang w:eastAsia="es-MX"/>
        </w:rPr>
      </w:pPr>
      <w:r w:rsidRPr="003B64DF">
        <w:rPr>
          <w:rFonts w:ascii="Verdana" w:eastAsia="Times New Roman" w:hAnsi="Verdana"/>
          <w:sz w:val="20"/>
          <w:szCs w:val="20"/>
          <w:lang w:eastAsia="es-MX"/>
        </w:rPr>
        <w:t> </w:t>
      </w:r>
    </w:p>
    <w:p w:rsidR="003A2E6A" w:rsidRPr="003B64DF" w:rsidRDefault="003A2E6A" w:rsidP="003B64DF">
      <w:pPr>
        <w:jc w:val="both"/>
        <w:rPr>
          <w:rFonts w:ascii="Verdana" w:hAnsi="Verdana"/>
          <w:sz w:val="20"/>
          <w:szCs w:val="20"/>
        </w:rPr>
      </w:pPr>
    </w:p>
    <w:sectPr w:rsidR="003A2E6A" w:rsidRPr="003B64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64DF"/>
    <w:rsid w:val="003A2E6A"/>
    <w:rsid w:val="003B64DF"/>
    <w:rsid w:val="007F06DB"/>
    <w:rsid w:val="00826BF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926857">
      <w:bodyDiv w:val="1"/>
      <w:marLeft w:val="0"/>
      <w:marRight w:val="0"/>
      <w:marTop w:val="0"/>
      <w:marBottom w:val="0"/>
      <w:divBdr>
        <w:top w:val="none" w:sz="0" w:space="0" w:color="auto"/>
        <w:left w:val="none" w:sz="0" w:space="0" w:color="auto"/>
        <w:bottom w:val="none" w:sz="0" w:space="0" w:color="auto"/>
        <w:right w:val="none" w:sz="0" w:space="0" w:color="auto"/>
      </w:divBdr>
      <w:divsChild>
        <w:div w:id="1179271177">
          <w:marLeft w:val="0"/>
          <w:marRight w:val="0"/>
          <w:marTop w:val="0"/>
          <w:marBottom w:val="0"/>
          <w:divBdr>
            <w:top w:val="none" w:sz="0" w:space="0" w:color="auto"/>
            <w:left w:val="none" w:sz="0" w:space="0" w:color="auto"/>
            <w:bottom w:val="none" w:sz="0" w:space="0" w:color="auto"/>
            <w:right w:val="none" w:sz="0" w:space="0" w:color="auto"/>
          </w:divBdr>
        </w:div>
        <w:div w:id="1303077811">
          <w:marLeft w:val="0"/>
          <w:marRight w:val="0"/>
          <w:marTop w:val="0"/>
          <w:marBottom w:val="0"/>
          <w:divBdr>
            <w:top w:val="none" w:sz="0" w:space="0" w:color="auto"/>
            <w:left w:val="none" w:sz="0" w:space="0" w:color="auto"/>
            <w:bottom w:val="none" w:sz="0" w:space="0" w:color="auto"/>
            <w:right w:val="none" w:sz="0" w:space="0" w:color="auto"/>
          </w:divBdr>
          <w:divsChild>
            <w:div w:id="339508725">
              <w:marLeft w:val="0"/>
              <w:marRight w:val="0"/>
              <w:marTop w:val="0"/>
              <w:marBottom w:val="0"/>
              <w:divBdr>
                <w:top w:val="double" w:sz="6" w:space="1" w:color="auto"/>
                <w:left w:val="none" w:sz="0" w:space="0" w:color="auto"/>
                <w:bottom w:val="none" w:sz="0" w:space="0" w:color="auto"/>
                <w:right w:val="none" w:sz="0" w:space="0" w:color="auto"/>
              </w:divBdr>
            </w:div>
            <w:div w:id="52725467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958682115">
      <w:bodyDiv w:val="1"/>
      <w:marLeft w:val="0"/>
      <w:marRight w:val="0"/>
      <w:marTop w:val="0"/>
      <w:marBottom w:val="0"/>
      <w:divBdr>
        <w:top w:val="none" w:sz="0" w:space="0" w:color="auto"/>
        <w:left w:val="none" w:sz="0" w:space="0" w:color="auto"/>
        <w:bottom w:val="none" w:sz="0" w:space="0" w:color="auto"/>
        <w:right w:val="none" w:sz="0" w:space="0" w:color="auto"/>
      </w:divBdr>
      <w:divsChild>
        <w:div w:id="72239504">
          <w:marLeft w:val="0"/>
          <w:marRight w:val="0"/>
          <w:marTop w:val="0"/>
          <w:marBottom w:val="0"/>
          <w:divBdr>
            <w:top w:val="none" w:sz="0" w:space="0" w:color="auto"/>
            <w:left w:val="none" w:sz="0" w:space="0" w:color="auto"/>
            <w:bottom w:val="none" w:sz="0" w:space="0" w:color="auto"/>
            <w:right w:val="none" w:sz="0" w:space="0" w:color="auto"/>
          </w:divBdr>
        </w:div>
        <w:div w:id="87165161">
          <w:marLeft w:val="0"/>
          <w:marRight w:val="0"/>
          <w:marTop w:val="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single" w:sz="12" w:space="1" w:color="auto"/>
                <w:right w:val="none" w:sz="0" w:space="0" w:color="auto"/>
              </w:divBdr>
            </w:div>
            <w:div w:id="1375813470">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juan carlos Cardona</cp:lastModifiedBy>
  <cp:revision>2</cp:revision>
  <dcterms:created xsi:type="dcterms:W3CDTF">2015-01-08T14:33:00Z</dcterms:created>
  <dcterms:modified xsi:type="dcterms:W3CDTF">2015-01-08T14:33:00Z</dcterms:modified>
</cp:coreProperties>
</file>