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36" w:rsidRDefault="00257D36" w:rsidP="00257D36">
      <w:pPr>
        <w:pStyle w:val="maintitle"/>
        <w:shd w:val="clear" w:color="auto" w:fill="FFFFFF"/>
        <w:jc w:val="center"/>
        <w:rPr>
          <w:rFonts w:ascii="Arial" w:hAnsi="Arial" w:cs="Arial"/>
          <w:b/>
          <w:bCs/>
          <w:color w:val="BF3917"/>
          <w:sz w:val="16"/>
          <w:szCs w:val="16"/>
        </w:rPr>
      </w:pPr>
      <w:r>
        <w:rPr>
          <w:rFonts w:ascii="Arial" w:hAnsi="Arial" w:cs="Arial"/>
          <w:b/>
          <w:bCs/>
          <w:color w:val="BF3917"/>
          <w:sz w:val="16"/>
          <w:szCs w:val="16"/>
        </w:rPr>
        <w:t>Acuerdo de Complementación Económica suscrito entre los Gobiernos de la República Argentina, de</w:t>
      </w:r>
      <w:r>
        <w:rPr>
          <w:rFonts w:ascii="Arial" w:hAnsi="Arial" w:cs="Arial"/>
          <w:b/>
          <w:bCs/>
          <w:color w:val="BF3917"/>
          <w:sz w:val="16"/>
          <w:szCs w:val="16"/>
        </w:rPr>
        <w:br/>
        <w:t>la República Federativa del Brasil, de la República del Paraguay y de la República Oriental del Uruguay,</w:t>
      </w:r>
      <w:r>
        <w:rPr>
          <w:rStyle w:val="apple-converted-space"/>
          <w:rFonts w:ascii="Arial" w:hAnsi="Arial" w:cs="Arial"/>
          <w:b/>
          <w:bCs/>
          <w:color w:val="BF3917"/>
          <w:sz w:val="16"/>
          <w:szCs w:val="16"/>
        </w:rPr>
        <w:t> </w:t>
      </w:r>
      <w:r>
        <w:rPr>
          <w:rFonts w:ascii="Arial" w:hAnsi="Arial" w:cs="Arial"/>
          <w:b/>
          <w:bCs/>
          <w:color w:val="BF3917"/>
          <w:sz w:val="16"/>
          <w:szCs w:val="16"/>
        </w:rPr>
        <w:br/>
        <w:t>Estados Partes del MERCOSUR y los Gobiernos de la República de Colombia, de la República del Ecuador y de</w:t>
      </w:r>
      <w:r>
        <w:rPr>
          <w:rStyle w:val="apple-converted-space"/>
          <w:rFonts w:ascii="Arial" w:hAnsi="Arial" w:cs="Arial"/>
          <w:b/>
          <w:bCs/>
          <w:color w:val="BF3917"/>
          <w:sz w:val="16"/>
          <w:szCs w:val="16"/>
        </w:rPr>
        <w:t> </w:t>
      </w:r>
      <w:r>
        <w:rPr>
          <w:rFonts w:ascii="Arial" w:hAnsi="Arial" w:cs="Arial"/>
          <w:b/>
          <w:bCs/>
          <w:color w:val="BF3917"/>
          <w:sz w:val="16"/>
          <w:szCs w:val="16"/>
        </w:rPr>
        <w:br/>
        <w:t>la República Bolivariana de Venezuela, Países Miembros de la Comunidad Andina</w:t>
      </w:r>
    </w:p>
    <w:p w:rsidR="00257D36" w:rsidRDefault="00257D36" w:rsidP="00257D36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ANEXO II</w:t>
      </w:r>
    </w:p>
    <w:p w:rsidR="00257D36" w:rsidRDefault="00257D36" w:rsidP="00257D36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PROGRAMA DE LIBERACIÒN COMERCIAL</w:t>
      </w:r>
    </w:p>
    <w:p w:rsidR="00257D36" w:rsidRDefault="00257D36" w:rsidP="00257D36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Notas Explicativas al Apéndice 2</w:t>
      </w:r>
      <w:r>
        <w:rPr>
          <w:rFonts w:ascii="Arial" w:hAnsi="Arial" w:cs="Arial"/>
          <w:b/>
          <w:bCs/>
          <w:color w:val="5C635B"/>
          <w:sz w:val="16"/>
          <w:szCs w:val="16"/>
        </w:rPr>
        <w:br/>
      </w:r>
      <w:r>
        <w:rPr>
          <w:rFonts w:ascii="Arial" w:hAnsi="Arial" w:cs="Arial"/>
          <w:b/>
          <w:bCs/>
          <w:color w:val="5C635B"/>
          <w:sz w:val="16"/>
          <w:szCs w:val="16"/>
        </w:rPr>
        <w:br/>
        <w:t>BRASIL - COLOMBIA</w:t>
      </w:r>
    </w:p>
    <w:p w:rsidR="00257D36" w:rsidRDefault="00257D36" w:rsidP="00257D36">
      <w:pPr>
        <w:pStyle w:val="NormalWeb"/>
        <w:shd w:val="clear" w:color="auto" w:fill="FFFFFF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color w:val="5C635B"/>
          <w:sz w:val="16"/>
          <w:szCs w:val="16"/>
        </w:rPr>
        <w:t>(1) El programa de liberación comercial no se aplica. La desgravación arancelaria a 15 años y demás condiciones de acceso iniciarán su aplicación cuando las partes así lo acuerden.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(2) El programa de liberación comercial no se aplica a desechos farmacéuticos tal como los clasifica el SH 2002 en su versión NALADISA.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 xml:space="preserve">(3) El programa de liberación comercial no se aplica a autopartes reconstruidas, refaccionadas, </w:t>
      </w:r>
      <w:proofErr w:type="spellStart"/>
      <w:r>
        <w:rPr>
          <w:rFonts w:ascii="Arial" w:hAnsi="Arial" w:cs="Arial"/>
          <w:color w:val="5C635B"/>
          <w:sz w:val="16"/>
          <w:szCs w:val="16"/>
        </w:rPr>
        <w:t>remanufacturadas</w:t>
      </w:r>
      <w:proofErr w:type="spellEnd"/>
      <w:r>
        <w:rPr>
          <w:rFonts w:ascii="Arial" w:hAnsi="Arial" w:cs="Arial"/>
          <w:color w:val="5C635B"/>
          <w:sz w:val="16"/>
          <w:szCs w:val="16"/>
        </w:rPr>
        <w:t xml:space="preserve"> o cualquier otro apelativo similar que se dé a bienes que después de haber sido usados se han sometido a algún proceso para restituirles sus características o sus especificaciones originales, o para devolverles la funcionalidad que tuvieron cuando nuevos.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(4) El programa de liberación comercial se aplica a vehículos automotores nuevos que hayan sido fabricados en el año en el cual se realiza la importación o en el año inmediatamente anterior.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(5) El programa de liberación comercial se aplica a las motocicletas nuevas que hayan sido fabricados en el año en el cual se realiza la importación o en el año inmediatamente anterior.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 xml:space="preserve">(6) El programa de liberación comercial no se aplica a </w:t>
      </w:r>
      <w:proofErr w:type="spellStart"/>
      <w:r>
        <w:rPr>
          <w:rFonts w:ascii="Arial" w:hAnsi="Arial" w:cs="Arial"/>
          <w:color w:val="5C635B"/>
          <w:sz w:val="16"/>
          <w:szCs w:val="16"/>
        </w:rPr>
        <w:t>motopartes</w:t>
      </w:r>
      <w:proofErr w:type="spellEnd"/>
      <w:r>
        <w:rPr>
          <w:rFonts w:ascii="Arial" w:hAnsi="Arial" w:cs="Arial"/>
          <w:color w:val="5C635B"/>
          <w:sz w:val="16"/>
          <w:szCs w:val="16"/>
        </w:rPr>
        <w:t xml:space="preserve"> reconstruidas, refaccionadas, </w:t>
      </w:r>
      <w:proofErr w:type="spellStart"/>
      <w:r>
        <w:rPr>
          <w:rFonts w:ascii="Arial" w:hAnsi="Arial" w:cs="Arial"/>
          <w:color w:val="5C635B"/>
          <w:sz w:val="16"/>
          <w:szCs w:val="16"/>
        </w:rPr>
        <w:t>remanufacturadas</w:t>
      </w:r>
      <w:proofErr w:type="spellEnd"/>
      <w:r>
        <w:rPr>
          <w:rFonts w:ascii="Arial" w:hAnsi="Arial" w:cs="Arial"/>
          <w:color w:val="5C635B"/>
          <w:sz w:val="16"/>
          <w:szCs w:val="16"/>
        </w:rPr>
        <w:t xml:space="preserve"> o cualquier otro apelativo similar que se dé a bienes que después de haber sido usados se han sometido a algún proceso para restituirles sus características o sus especificaciones originales, o para devolverles la funcionalidad que tuvieron cuando nuevos.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(7) El programa de liberación comercial se aplica hasta el 31/12/2011 para bienes de uso automotor. A partir del 01/01/2012 se aplica la preferencia correspondiente al 31/12/2011.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(8) La reanudación del cronograma de desgravación, previsto en el Apéndice 4.4, después de 31/12/2005 se dará cuando la República Federativa del Brasil y la República de Colombia definan de común acuerdo la regla de origen aplicable y demás condiciones de acceso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(9) La reanudación del cronograma de desgravación, previsto en el Apéndice 4.4, después de 31/12/2007 se dará cuando la República Federativa del Brasil y la República de Colombia definan de común acuerdo la regla de origen aplicable y demás condiciones de acceso.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(10) El país de origen podrá regular sus exportaciones por motivos de defensa o preservación del patrimonio histórico o artístico.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_________</w:t>
      </w:r>
    </w:p>
    <w:p w:rsidR="00257D36" w:rsidRDefault="00257D36" w:rsidP="00257D36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b/>
          <w:bCs/>
          <w:color w:val="5C635B"/>
          <w:sz w:val="16"/>
          <w:szCs w:val="16"/>
        </w:rPr>
        <w:t>ANEXO II</w:t>
      </w:r>
    </w:p>
    <w:p w:rsidR="00257D36" w:rsidRDefault="00257D36" w:rsidP="00257D36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PROGRAMA DE LIBERACIÒN COMERCIAL</w:t>
      </w:r>
    </w:p>
    <w:p w:rsidR="00257D36" w:rsidRDefault="00257D36" w:rsidP="00257D36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Notas Explicativas al Apéndice 2</w:t>
      </w:r>
    </w:p>
    <w:p w:rsidR="00257D36" w:rsidRDefault="00257D36" w:rsidP="00257D36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BRASIL - ECUADOR</w:t>
      </w:r>
    </w:p>
    <w:p w:rsidR="00257D36" w:rsidRDefault="00257D36" w:rsidP="00257D36">
      <w:pPr>
        <w:pStyle w:val="NormalWeb"/>
        <w:shd w:val="clear" w:color="auto" w:fill="FFFFFF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color w:val="5C635B"/>
          <w:sz w:val="16"/>
          <w:szCs w:val="16"/>
        </w:rPr>
        <w:t>(1) El programa de liberación comercial no se aplica. La desgravación arancelaria a 15 años y demás condiciones de acceso iniciarán su aplicación cuando las partes así lo acuerden.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(2) La reanudación del cronograma de desgravación, previsto en el Apéndice 4.5, después de 31/12/2007 se dará cuando la República Federativa del Brasil y la República del Ecuador definan de común acuerdo la regla de origen aplicable y demás condiciones de acceso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_________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 </w:t>
      </w:r>
    </w:p>
    <w:p w:rsidR="00257D36" w:rsidRDefault="00257D36" w:rsidP="00257D36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ANEXO II</w:t>
      </w:r>
    </w:p>
    <w:p w:rsidR="00257D36" w:rsidRDefault="00257D36" w:rsidP="00257D36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PROGRAMA DE LIBERACIÒN COMERCIAL</w:t>
      </w:r>
    </w:p>
    <w:p w:rsidR="00257D36" w:rsidRDefault="00257D36" w:rsidP="00257D36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Notas Explicativas al Apéndice 2</w:t>
      </w:r>
    </w:p>
    <w:p w:rsidR="00257D36" w:rsidRDefault="00257D36" w:rsidP="00257D36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lastRenderedPageBreak/>
        <w:t>BRASIL - VENEZUELA</w:t>
      </w:r>
      <w:r>
        <w:rPr>
          <w:rFonts w:ascii="Arial" w:hAnsi="Arial" w:cs="Arial"/>
          <w:b/>
          <w:bCs/>
          <w:color w:val="5C635B"/>
          <w:sz w:val="16"/>
          <w:szCs w:val="16"/>
        </w:rPr>
        <w:br/>
        <w:t> </w:t>
      </w:r>
    </w:p>
    <w:p w:rsidR="00257D36" w:rsidRDefault="00257D36" w:rsidP="00257D36">
      <w:pPr>
        <w:pStyle w:val="NormalWeb"/>
        <w:shd w:val="clear" w:color="auto" w:fill="FFFFFF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color w:val="5C635B"/>
          <w:sz w:val="16"/>
          <w:szCs w:val="16"/>
        </w:rPr>
        <w:t>(1) El programa de liberación comercial no se aplica. La desgravación arancelaria a 15 años y demás condiciones de acceso iniciarán su aplicación cuando las partes así lo acuerden.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(2) La reanudación del cronograma de desgravación, previsto en el Apéndice 4.6, después de 31/12/2006 se dará cuando la República Federativa del Brasil y la República Bolivariana de Venezuela definan de común acuerdo la regla de origen aplicable y demás condiciones de acceso</w:t>
      </w:r>
    </w:p>
    <w:p w:rsidR="00E729DF" w:rsidRDefault="00E729DF"/>
    <w:sectPr w:rsidR="00E729DF" w:rsidSect="00257D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D36"/>
    <w:rsid w:val="00257D36"/>
    <w:rsid w:val="005E1732"/>
    <w:rsid w:val="00E7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DF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intitle">
    <w:name w:val="maintitle"/>
    <w:basedOn w:val="Normal"/>
    <w:rsid w:val="0025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257D36"/>
  </w:style>
  <w:style w:type="paragraph" w:styleId="NormalWeb">
    <w:name w:val="Normal (Web)"/>
    <w:basedOn w:val="Normal"/>
    <w:uiPriority w:val="99"/>
    <w:semiHidden/>
    <w:unhideWhenUsed/>
    <w:rsid w:val="0025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3283</Characters>
  <Application>Microsoft Office Word</Application>
  <DocSecurity>0</DocSecurity>
  <Lines>27</Lines>
  <Paragraphs>7</Paragraphs>
  <ScaleCrop>false</ScaleCrop>
  <Company>Toshiba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Cardona</dc:creator>
  <cp:lastModifiedBy>juan carlos Cardona</cp:lastModifiedBy>
  <cp:revision>1</cp:revision>
  <dcterms:created xsi:type="dcterms:W3CDTF">2015-01-20T21:58:00Z</dcterms:created>
  <dcterms:modified xsi:type="dcterms:W3CDTF">2015-01-20T22:00:00Z</dcterms:modified>
</cp:coreProperties>
</file>